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80F" w:rsidRPr="00A8380F" w:rsidRDefault="00A8380F" w:rsidP="00A8380F">
      <w:pPr>
        <w:jc w:val="center"/>
        <w:rPr>
          <w:rFonts w:hint="cs"/>
          <w:b/>
          <w:bCs/>
          <w:i/>
          <w:iCs/>
          <w:color w:val="548DD4" w:themeColor="text2" w:themeTint="99"/>
          <w:sz w:val="36"/>
          <w:szCs w:val="36"/>
          <w:u w:val="single"/>
          <w:rtl/>
          <w:lang w:bidi="ar-JO"/>
        </w:rPr>
      </w:pPr>
      <w:r w:rsidRPr="00A8380F">
        <w:rPr>
          <w:rFonts w:hint="cs"/>
          <w:b/>
          <w:bCs/>
          <w:i/>
          <w:iCs/>
          <w:color w:val="548DD4" w:themeColor="text2" w:themeTint="99"/>
          <w:sz w:val="36"/>
          <w:szCs w:val="36"/>
          <w:u w:val="single"/>
          <w:rtl/>
          <w:lang w:bidi="ar-JO"/>
        </w:rPr>
        <w:t xml:space="preserve">جديدنا :- </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Pr>
      </w:pPr>
      <w:r w:rsidRPr="00DC2478">
        <w:rPr>
          <w:rFonts w:ascii="Tahoma" w:eastAsia="Times New Roman" w:hAnsi="Tahoma" w:cs="Tahoma"/>
          <w:b/>
          <w:bCs/>
          <w:color w:val="0000CD"/>
          <w:sz w:val="21"/>
          <w:szCs w:val="21"/>
          <w:rtl/>
        </w:rPr>
        <w:t>** تاريخ النشر: 9/9/2015            </w:t>
      </w:r>
      <w:bookmarkStart w:id="0" w:name="_GoBack"/>
      <w:bookmarkEnd w:id="0"/>
      <w:r w:rsidRPr="00DC2478">
        <w:rPr>
          <w:rFonts w:ascii="Tahoma" w:eastAsia="Times New Roman" w:hAnsi="Tahoma" w:cs="Tahoma"/>
          <w:b/>
          <w:bCs/>
          <w:color w:val="0000CD"/>
          <w:sz w:val="21"/>
          <w:szCs w:val="21"/>
          <w:rtl/>
        </w:rPr>
        <w:t>                                                   حملة الصيدلية الخضراء .... قريبا</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626262"/>
          <w:sz w:val="20"/>
          <w:szCs w:val="20"/>
          <w:rtl/>
        </w:rPr>
        <w:t> </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b/>
          <w:bCs/>
          <w:color w:val="0000CD"/>
          <w:sz w:val="21"/>
          <w:szCs w:val="21"/>
          <w:rtl/>
        </w:rPr>
        <w:t>الزمـيـلـة الصيـدلانية المحترمة                          الزمـيـل الصيـدلاني المحترم</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0000CD"/>
          <w:sz w:val="21"/>
          <w:szCs w:val="21"/>
          <w:rtl/>
        </w:rPr>
        <w:t>تحية طيبة وبعد</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Pr>
          <w:rFonts w:ascii="Tahoma" w:eastAsia="Times New Roman" w:hAnsi="Tahoma" w:cs="Tahoma"/>
          <w:noProof/>
          <w:color w:val="0000CD"/>
          <w:sz w:val="21"/>
          <w:szCs w:val="21"/>
        </w:rPr>
        <mc:AlternateContent>
          <mc:Choice Requires="wps">
            <w:drawing>
              <wp:inline distT="0" distB="0" distL="0" distR="0" wp14:anchorId="0B12EC9B" wp14:editId="700BB5D8">
                <wp:extent cx="304800" cy="304800"/>
                <wp:effectExtent l="0" t="0" r="0" b="0"/>
                <wp:docPr id="9" name="Rectangle 9" descr="C:\DOCUME~1\nabil\LOCALS~1\Temp\msohtmlclip1\01\clip_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NskiCbtAgAAAQYAAA4AAAAA&#10;AAAAAAAAAAAALgIAAGRycy9lMm9Eb2MueG1sUEsBAi0AFAAGAAgAAAAhAEyg6SzYAAAAAwEAAA8A&#10;AAAAAAAAAAAAAAAARwUAAGRycy9kb3ducmV2LnhtbFBLBQYAAAAABAAEAPMAAABMBgAAAAA=&#10;" filled="f" stroked="f">
                <o:lock v:ext="edit" aspectratio="t"/>
                <w10:wrap anchorx="page"/>
                <w10:anchorlock/>
              </v:rect>
            </w:pict>
          </mc:Fallback>
        </mc:AlternateContent>
      </w:r>
      <w:r w:rsidRPr="00DC2478">
        <w:rPr>
          <w:rFonts w:ascii="Tahoma" w:eastAsia="Times New Roman" w:hAnsi="Tahoma" w:cs="Tahoma"/>
          <w:color w:val="0000CD"/>
          <w:sz w:val="21"/>
          <w:szCs w:val="21"/>
          <w:rtl/>
        </w:rPr>
        <w:t>بمناسبة الاحتفال بيوم الصيدلي العالمي الذي يصادف 25/9/2015، وانطلاقا من دور الصيدلي الأساسي في الترويج لمبادئ الصحة العامة والتوعية الصحية للمجتمع، تقوم هيئة الممارسة الجيدة للصيدلة (</w:t>
      </w:r>
      <w:r w:rsidRPr="00DC2478">
        <w:rPr>
          <w:rFonts w:ascii="Tahoma" w:eastAsia="Times New Roman" w:hAnsi="Tahoma" w:cs="Tahoma"/>
          <w:color w:val="0000CD"/>
          <w:sz w:val="21"/>
          <w:szCs w:val="21"/>
        </w:rPr>
        <w:t>GPP</w:t>
      </w:r>
      <w:r w:rsidRPr="00DC2478">
        <w:rPr>
          <w:rFonts w:ascii="Tahoma" w:eastAsia="Times New Roman" w:hAnsi="Tahoma" w:cs="Tahoma"/>
          <w:color w:val="0000CD"/>
          <w:sz w:val="21"/>
          <w:szCs w:val="21"/>
          <w:rtl/>
        </w:rPr>
        <w:t>) في نقابة صيادلة الأردن بالتحضير لإطلاق الحملة المجتمعية الأولى من نوعها بالأردن، تحت عنوان:</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626262"/>
          <w:sz w:val="20"/>
          <w:szCs w:val="20"/>
          <w:rtl/>
        </w:rPr>
        <w:t> </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626262"/>
          <w:sz w:val="20"/>
          <w:szCs w:val="20"/>
          <w:rtl/>
        </w:rPr>
        <w:t> </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0000CD"/>
          <w:sz w:val="21"/>
          <w:szCs w:val="21"/>
          <w:rtl/>
        </w:rPr>
        <w:t>وهي الحملة التي ستنفّذ -بالتعاون مع وزارة البيئة والمؤسسة العامة للغذاء والدواء- داخل صيدليات المجتمع وعلى مدار ثلاثة أيام في شهر تشرين الأول 2015، وتهدف إلى توعية المواطنين بمخاطر إتلافهم للأدوية بطرق غير آمنة بيئيا (عبر إلقائها مع قمامة المنزل أو في شبكات الصرف الصحي) وأثرها البيئي الضار على المياه السطحية والجوفية والتربة والهواء، وما يترتب عليه من أضرار بصحة الكائنات الحية من إنسان وحيوان ونبات.</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626262"/>
          <w:sz w:val="20"/>
          <w:szCs w:val="20"/>
          <w:rtl/>
        </w:rPr>
        <w:t> </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0000CD"/>
          <w:sz w:val="21"/>
          <w:szCs w:val="21"/>
          <w:rtl/>
        </w:rPr>
        <w:t>حيث تشجع هذه الحملة التوعوية أفراد المجتمع لإعادة "النفايات الصيدلانية المنزلية" وبخاصة الأدوية التالفة أو المُنتهية الصلاحية أو الزائدة عن الحاجة أو غير المستعملة، والمتراكمة في منازلهم إلى صيدليات محددة، بحيث يتم جمعها في حاويات محكمة الإغلاق معدة خصيصا للحملة، ومن ثم تقوم كوادر وزارة البيئة وفور انتهاء الحملة بجمع الحاويات والتخلص منها حسب الأعراف البيئية المتبعة.</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626262"/>
          <w:sz w:val="20"/>
          <w:szCs w:val="20"/>
          <w:rtl/>
        </w:rPr>
        <w:t> </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0000CD"/>
          <w:sz w:val="21"/>
          <w:szCs w:val="21"/>
          <w:rtl/>
        </w:rPr>
        <w:t>هذا وسيتم إطلاق الحملة تجريبيا في مدينة عمان وبمشاركة حوالي (100 صيدلية) متطوعة، موزعة على مختلف مناطق العاصمة، ومن ثم تعمم تباعا في باقي محافظات المملكة.</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626262"/>
          <w:sz w:val="20"/>
          <w:szCs w:val="20"/>
          <w:rtl/>
        </w:rPr>
        <w:t> </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b/>
          <w:bCs/>
          <w:color w:val="0000CD"/>
          <w:sz w:val="21"/>
          <w:szCs w:val="21"/>
          <w:rtl/>
        </w:rPr>
        <w:t>** تاريخ النشر: 6/9/2015                                                   مسابقة بوسترات طلاب الصيدلة</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626262"/>
          <w:sz w:val="20"/>
          <w:szCs w:val="20"/>
          <w:rtl/>
        </w:rPr>
        <w:t> </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0000CD"/>
          <w:sz w:val="21"/>
          <w:szCs w:val="21"/>
          <w:rtl/>
        </w:rPr>
        <w:t>تحية طيبة وبعد</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0000CD"/>
          <w:sz w:val="21"/>
          <w:szCs w:val="21"/>
          <w:rtl/>
        </w:rPr>
        <w:t>انطلاقا من دور النقابة الأساسي في تطوير مهنة الصيدلة وحرصا منها على التواصل مع طلاب الصيدلة وتهيئتهم لمواكبة التوجهات الحديثة في أساليب ممارسة مهنة الصيدلة، وبمناسبة اقتراب يوم الصيدلي العالمي الذي يصادف 25/9/2015، فانه يسر هيئة الممارسة الجيدة للصيدلة أن تعلن عن إطلاق:</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b/>
          <w:bCs/>
          <w:color w:val="0000CD"/>
          <w:sz w:val="21"/>
          <w:szCs w:val="21"/>
          <w:rtl/>
        </w:rPr>
        <w:t>مـسـابقة الـبوستر الصيــدلاني</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0000CD"/>
          <w:sz w:val="21"/>
          <w:szCs w:val="21"/>
          <w:rtl/>
        </w:rPr>
        <w:t>حيث يفوز في المسابقة طالبة الصيدلة / طالب الصيدلة الذي يقدم بوستر صيدلاني مبدع يتناول أي من:</w:t>
      </w:r>
    </w:p>
    <w:p w:rsidR="00A8380F" w:rsidRPr="00DC2478" w:rsidRDefault="00A8380F" w:rsidP="00A8380F">
      <w:pPr>
        <w:numPr>
          <w:ilvl w:val="0"/>
          <w:numId w:val="1"/>
        </w:numPr>
        <w:shd w:val="clear" w:color="auto" w:fill="FFFFFF"/>
        <w:spacing w:before="100" w:beforeAutospacing="1" w:after="100" w:afterAutospacing="1" w:line="240" w:lineRule="auto"/>
        <w:jc w:val="center"/>
        <w:rPr>
          <w:rFonts w:ascii="Tahoma" w:eastAsia="Times New Roman" w:hAnsi="Tahoma" w:cs="Tahoma"/>
          <w:color w:val="333333"/>
          <w:sz w:val="20"/>
          <w:szCs w:val="20"/>
          <w:rtl/>
        </w:rPr>
      </w:pPr>
      <w:r w:rsidRPr="00DC2478">
        <w:rPr>
          <w:rFonts w:ascii="Tahoma" w:eastAsia="Times New Roman" w:hAnsi="Tahoma" w:cs="Tahoma"/>
          <w:color w:val="0000CD"/>
          <w:sz w:val="21"/>
          <w:szCs w:val="21"/>
          <w:rtl/>
        </w:rPr>
        <w:t>شعار يوم الصيدلي العالمي:          </w:t>
      </w:r>
      <w:r w:rsidRPr="00DC2478">
        <w:rPr>
          <w:rFonts w:ascii="Tahoma" w:eastAsia="Times New Roman" w:hAnsi="Tahoma" w:cs="Tahoma"/>
          <w:b/>
          <w:bCs/>
          <w:color w:val="0000CD"/>
          <w:sz w:val="21"/>
          <w:szCs w:val="21"/>
          <w:rtl/>
        </w:rPr>
        <w:t>"الصيدلي: شريكك في الصحة"</w:t>
      </w:r>
      <w:r>
        <w:rPr>
          <w:rFonts w:ascii="Tahoma" w:eastAsia="Times New Roman" w:hAnsi="Tahoma" w:cs="Tahoma"/>
          <w:noProof/>
          <w:color w:val="0000CD"/>
          <w:sz w:val="21"/>
          <w:szCs w:val="21"/>
        </w:rPr>
        <mc:AlternateContent>
          <mc:Choice Requires="wps">
            <w:drawing>
              <wp:inline distT="0" distB="0" distL="0" distR="0" wp14:anchorId="0290E4B5" wp14:editId="0BA29EFE">
                <wp:extent cx="304800" cy="304800"/>
                <wp:effectExtent l="0" t="0" r="0" b="0"/>
                <wp:docPr id="7" name="Rectangle 7" descr="C:\DOCUME~1\nabil\LOCALS~1\Temp\msohtmlclip1\01\clip_image0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KUJS3ztAgAAAQYAAA4AAAAA&#10;AAAAAAAAAAAALgIAAGRycy9lMm9Eb2MueG1sUEsBAi0AFAAGAAgAAAAhAEyg6SzYAAAAAwEAAA8A&#10;AAAAAAAAAAAAAAAARwUAAGRycy9kb3ducmV2LnhtbFBLBQYAAAAABAAEAPMAAABMBgAAAAA=&#10;" filled="f" stroked="f">
                <o:lock v:ext="edit" aspectratio="t"/>
                <w10:wrap anchorx="page"/>
                <w10:anchorlock/>
              </v:rect>
            </w:pict>
          </mc:Fallback>
        </mc:AlternateConten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626262"/>
          <w:sz w:val="20"/>
          <w:szCs w:val="20"/>
          <w:rtl/>
        </w:rPr>
        <w:lastRenderedPageBreak/>
        <w:t> </w:t>
      </w:r>
    </w:p>
    <w:p w:rsidR="00A8380F" w:rsidRPr="00DC2478" w:rsidRDefault="00A8380F" w:rsidP="00A8380F">
      <w:pPr>
        <w:numPr>
          <w:ilvl w:val="0"/>
          <w:numId w:val="2"/>
        </w:numPr>
        <w:shd w:val="clear" w:color="auto" w:fill="FFFFFF"/>
        <w:spacing w:before="100" w:beforeAutospacing="1" w:after="100" w:afterAutospacing="1" w:line="240" w:lineRule="auto"/>
        <w:jc w:val="center"/>
        <w:rPr>
          <w:rFonts w:ascii="Tahoma" w:eastAsia="Times New Roman" w:hAnsi="Tahoma" w:cs="Tahoma"/>
          <w:color w:val="333333"/>
          <w:sz w:val="20"/>
          <w:szCs w:val="20"/>
          <w:rtl/>
        </w:rPr>
      </w:pPr>
      <w:r w:rsidRPr="00DC2478">
        <w:rPr>
          <w:rFonts w:ascii="Tahoma" w:eastAsia="Times New Roman" w:hAnsi="Tahoma" w:cs="Tahoma"/>
          <w:color w:val="0000CD"/>
          <w:sz w:val="21"/>
          <w:szCs w:val="21"/>
          <w:rtl/>
        </w:rPr>
        <w:t>مـــحــور فـــعـــالـيــــاتـــه:</w:t>
      </w:r>
    </w:p>
    <w:p w:rsidR="00A8380F" w:rsidRPr="00DC2478" w:rsidRDefault="00A8380F" w:rsidP="00A8380F">
      <w:pPr>
        <w:shd w:val="clear" w:color="auto" w:fill="FFFFFF"/>
        <w:spacing w:after="150" w:line="240" w:lineRule="auto"/>
        <w:rPr>
          <w:rFonts w:ascii="Tahoma" w:eastAsia="Times New Roman" w:hAnsi="Tahoma" w:cs="Tahoma"/>
          <w:color w:val="626262"/>
          <w:sz w:val="20"/>
          <w:szCs w:val="20"/>
          <w:rtl/>
        </w:rPr>
      </w:pPr>
      <w:r w:rsidRPr="00DC2478">
        <w:rPr>
          <w:rFonts w:ascii="Tahoma" w:eastAsia="Times New Roman" w:hAnsi="Tahoma" w:cs="Tahoma"/>
          <w:color w:val="626262"/>
          <w:sz w:val="20"/>
          <w:szCs w:val="20"/>
          <w:rtl/>
        </w:rPr>
        <w:t> </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0000CD"/>
          <w:sz w:val="21"/>
          <w:szCs w:val="21"/>
          <w:rtl/>
        </w:rPr>
        <w:t>وهي الحملة التي ستنفّذها النقابة بالتعاون مع وزارة البيئة، داخل صيدليات المجتمع، بهدف توعية المواطنين بمخاطر إتلافهم للأدوية بطرق غير آمنة بيئيا (عبر إلقائها مع قمامة المنزل أو في شبكات الصرف الصحي) وأثرها البيئي الضار على صحة الكائنات الحية من إنسان وحيوان ونبات، حيث تشجع هذه الحملة التوعوية أفراد المجتمع لإعادة "النفايات الصيدلانية المنزلية" وبخاصة الأدوية التالفة أو المُنتهية الصلاحية أو الزائدة عن الحاجة أو غير المستعملة، والمتراكمة في منازلهم إلى صيدليات محددة، ليتم جمعها في حاويات معدة خصيصا للحملة، ومن ثم تقوم كوادر وزارة البيئة بجمع الحاويات والتخلص منها حسب الأعراف البيئية المتبعة.</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0000CD"/>
          <w:sz w:val="21"/>
          <w:szCs w:val="21"/>
          <w:rtl/>
        </w:rPr>
        <w:t>وعليه، يطلب من طلاب الصيدلة الراغبين بالمشاركة في المسابقة، العمل على تصميم وطباعة بوستر بحجم (100*75) سم، يتناول أي من الموضوعين أعلاه، وتسليمها للنقابة قبل 1/10/2015.</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0000CD"/>
          <w:sz w:val="21"/>
          <w:szCs w:val="21"/>
          <w:rtl/>
        </w:rPr>
        <w:t>هذا وسيتم تكريم الطالب الفائز وتسليمه جائزة المسابقة خلال الاحتفالية التي ستعقدها النقابة بمناسبة يوم الصيدلي العالمي، فيما ستعرض جميع البوسترات المشاركة في ركن خاص على هامش الاحتفالية وكذلك على صفحة هيئة الممارسة الجيدة للصيدلة في موقع النقابة الإلكتروني.</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626262"/>
          <w:sz w:val="20"/>
          <w:szCs w:val="20"/>
          <w:rtl/>
        </w:rPr>
        <w:t> </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b/>
          <w:bCs/>
          <w:color w:val="0000CD"/>
          <w:sz w:val="21"/>
          <w:szCs w:val="21"/>
          <w:rtl/>
        </w:rPr>
        <w:t>** تاريخ النشر: 16/8/2015                                                       صدور كتيب "المدونة البيضاء"</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626262"/>
          <w:sz w:val="20"/>
          <w:szCs w:val="20"/>
          <w:rtl/>
        </w:rPr>
        <w:t> </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0000CD"/>
          <w:sz w:val="21"/>
          <w:szCs w:val="21"/>
          <w:rtl/>
        </w:rPr>
        <w:t>تحية طيبة وبعد</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0000CD"/>
          <w:sz w:val="21"/>
          <w:szCs w:val="21"/>
          <w:rtl/>
        </w:rPr>
        <w:t>خلال الثلاثين عاماً الماضية، شهد العالم قفزات نوعية في ممارسة مهنة الصيدلة، حيث انتهجت رؤية جديدة لمهنة الصيدلة تعرف "بالرعاية الصيدلانية" وهي التي تتجاوز دور الصيدلي التقليدي (كصارف للدواء) لتتمحور حول الاهتمام بصحة المريض، وذلك من خلال تقديم المشورة الصيدلانية، رصد واحتواء تداخلات الدواء وآثاره الجانبية، استعراض سلامة وفعالية الدواء، توفير المعلومات الدوائية والخدمات السريرية وصولا إلى ترشيد استهلاك الدواء.</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626262"/>
          <w:sz w:val="20"/>
          <w:szCs w:val="20"/>
          <w:rtl/>
        </w:rPr>
        <w:t> </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0000CD"/>
          <w:sz w:val="21"/>
          <w:szCs w:val="21"/>
          <w:rtl/>
        </w:rPr>
        <w:t>وحتى نواكب هذا المنهج العالمي الجديد فقد أصبح لزاماً علينا العمل على تطوير شكل ممارسة المهنة في الأردن لينسجم مع نظام الرعاية الصيدلانية، حيث يتطلب ذلك تغييراً في هيكلة وأنظمة الصيدلية، وفي طريقة مزاولة الصيادلة لمهنتهم، إضافة إلى التطوير المستمر لمعلوماتهم ومهاراتهم، كما يتطلب ذلك إيجاد معايير لقياس جودة الرعاية الصيدلانية المقدمة للمرضى، ومن هنا ظهرت الحاجة لتطبيق مبادئ الممارسة الجيدة للصيدلة.</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626262"/>
          <w:sz w:val="20"/>
          <w:szCs w:val="20"/>
          <w:rtl/>
        </w:rPr>
        <w:t> </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0000CD"/>
          <w:sz w:val="21"/>
          <w:szCs w:val="21"/>
          <w:rtl/>
        </w:rPr>
        <w:t>لذا فقد تبنّت هيئة الممارسة الجيدة للصيدلة (</w:t>
      </w:r>
      <w:r w:rsidRPr="00DC2478">
        <w:rPr>
          <w:rFonts w:ascii="Tahoma" w:eastAsia="Times New Roman" w:hAnsi="Tahoma" w:cs="Tahoma"/>
          <w:color w:val="0000CD"/>
          <w:sz w:val="21"/>
          <w:szCs w:val="21"/>
        </w:rPr>
        <w:t>GPP</w:t>
      </w:r>
      <w:r w:rsidRPr="00DC2478">
        <w:rPr>
          <w:rFonts w:ascii="Tahoma" w:eastAsia="Times New Roman" w:hAnsi="Tahoma" w:cs="Tahoma"/>
          <w:color w:val="0000CD"/>
          <w:sz w:val="21"/>
          <w:szCs w:val="21"/>
          <w:rtl/>
        </w:rPr>
        <w:t>) بالنقابة، مسؤولية تقديم المعايير الأردنية للممارسة الجيدة لمهنة الصيدلة لتضع بين أيديكم الطبعة الأولى من إصدارها المهني الشامل تحت عنوان:</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b/>
          <w:bCs/>
          <w:color w:val="0000CD"/>
          <w:sz w:val="21"/>
          <w:szCs w:val="21"/>
          <w:rtl/>
        </w:rPr>
        <w:t>* المــدونــة الـبـيــضـــاء *</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0000CD"/>
          <w:sz w:val="21"/>
          <w:szCs w:val="21"/>
          <w:rtl/>
        </w:rPr>
        <w:t>وفيها خلاصة أهم الوثائق العالمية التي تناقش مفهوم الممارسة الجيدة للصيدلة حسب رؤية اتحاد الصيادلة الدولي، بعد أن تم تعديلها بما ينسجم مع النظام الصحي وطبيعة ممارسة مهنة الصيدلة في مجتمعنا الأردني، حيث تهدف "المدونة البيضاء" للتعريف بمفاهيم "الرعاية الصيدلانية" و "الممارسة الجيدة للصيدلة"، كما تحتوي على وصف مفصّل "لأخلاقيات مهنة الصيدلة"، "مهام ومسؤوليات الصيدلي" و "معايير الصرف الجيد للدواء"، وصولاً إلى "معايير الممارسة الجيدة للصيدلة" والتي تمثل مجموعة الأسس والعناصر ومتطلبات الأداء الواجب تطبيقها في صيدليات المجتمع الأردني للوصول إلى ممارسة صيدلانية مهنية وأخلاقية تقدّم رعاية صيدلانية مميزة للمرضى وتنعكس آثارها الإيجابية على المرضى والمجتمع والمهنة على حد سواء.</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0000CD"/>
          <w:sz w:val="21"/>
          <w:szCs w:val="21"/>
          <w:rtl/>
        </w:rPr>
        <w:lastRenderedPageBreak/>
        <w:t>وحتى تتمكن زميلي الصيدلي / زميلتي الصيدلانية من المشاركة في تطوير المهنة، فيجب علينا جميعا العمل على قبول التغيير وتبني وتطبيق مبادئ الممارسة الجيدة للصيدلة، لنضمن الجودة والتميّز في تقديم خدمات الرعاية الصيدلانية في صيدليات المجتمع، مما سيرفع من سوية المهنة ويؤكد على أهمية دور الصيدلي كعضو فعال في الفريق الطبي.</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0000CD"/>
          <w:sz w:val="21"/>
          <w:szCs w:val="21"/>
          <w:rtl/>
        </w:rPr>
        <w:t>فالممارسة الصيدلانية الجيدة هي وصفة تميّز لمهنة الصيدلة</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0000CD"/>
          <w:sz w:val="21"/>
          <w:szCs w:val="21"/>
          <w:rtl/>
        </w:rPr>
        <w:t>تحقق أفضل عناية صحية للمواطن الأردني وتنعكس إيجابا على المجتمع الأردني ككل.</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626262"/>
          <w:sz w:val="20"/>
          <w:szCs w:val="20"/>
          <w:rtl/>
        </w:rPr>
        <w:t> </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0000CD"/>
          <w:sz w:val="21"/>
          <w:szCs w:val="21"/>
          <w:rtl/>
        </w:rPr>
        <w:t>هيئة الممارسة الجيدة للصيدلة   (</w:t>
      </w:r>
      <w:r w:rsidRPr="00DC2478">
        <w:rPr>
          <w:rFonts w:ascii="Tahoma" w:eastAsia="Times New Roman" w:hAnsi="Tahoma" w:cs="Tahoma"/>
          <w:color w:val="0000CD"/>
          <w:sz w:val="21"/>
          <w:szCs w:val="21"/>
        </w:rPr>
        <w:t>GPP</w:t>
      </w:r>
      <w:r w:rsidRPr="00DC2478">
        <w:rPr>
          <w:rFonts w:ascii="Tahoma" w:eastAsia="Times New Roman" w:hAnsi="Tahoma" w:cs="Tahoma"/>
          <w:color w:val="0000CD"/>
          <w:sz w:val="21"/>
          <w:szCs w:val="21"/>
          <w:rtl/>
        </w:rPr>
        <w:t>)</w:t>
      </w:r>
    </w:p>
    <w:p w:rsidR="00A8380F" w:rsidRPr="00DC2478" w:rsidRDefault="00A8380F" w:rsidP="00A8380F">
      <w:pPr>
        <w:shd w:val="clear" w:color="auto" w:fill="FFFFFF"/>
        <w:spacing w:after="150" w:line="240" w:lineRule="auto"/>
        <w:jc w:val="center"/>
        <w:rPr>
          <w:rFonts w:ascii="Tahoma" w:eastAsia="Times New Roman" w:hAnsi="Tahoma" w:cs="Tahoma"/>
          <w:color w:val="626262"/>
          <w:sz w:val="20"/>
          <w:szCs w:val="20"/>
          <w:rtl/>
        </w:rPr>
      </w:pPr>
      <w:r w:rsidRPr="00DC2478">
        <w:rPr>
          <w:rFonts w:ascii="Tahoma" w:eastAsia="Times New Roman" w:hAnsi="Tahoma" w:cs="Tahoma"/>
          <w:color w:val="0000CD"/>
          <w:sz w:val="21"/>
          <w:szCs w:val="21"/>
          <w:rtl/>
        </w:rPr>
        <w:t>نقابة صيادلة الأردن</w:t>
      </w:r>
    </w:p>
    <w:p w:rsidR="00820105" w:rsidRDefault="00820105"/>
    <w:sectPr w:rsidR="00820105" w:rsidSect="000101B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240E2"/>
    <w:multiLevelType w:val="multilevel"/>
    <w:tmpl w:val="C258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920677"/>
    <w:multiLevelType w:val="multilevel"/>
    <w:tmpl w:val="5C0E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80F"/>
    <w:rsid w:val="000101BC"/>
    <w:rsid w:val="00820105"/>
    <w:rsid w:val="00A838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80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80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810</Words>
  <Characters>4620</Characters>
  <Application>Microsoft Office Word</Application>
  <DocSecurity>0</DocSecurity>
  <Lines>38</Lines>
  <Paragraphs>10</Paragraphs>
  <ScaleCrop>false</ScaleCrop>
  <Company/>
  <LinksUpToDate>false</LinksUpToDate>
  <CharactersWithSpaces>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 Halaybah</dc:creator>
  <cp:lastModifiedBy>Asma Halaybah</cp:lastModifiedBy>
  <cp:revision>1</cp:revision>
  <dcterms:created xsi:type="dcterms:W3CDTF">2019-08-25T13:20:00Z</dcterms:created>
  <dcterms:modified xsi:type="dcterms:W3CDTF">2019-08-25T13:21:00Z</dcterms:modified>
</cp:coreProperties>
</file>